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7E" w:rsidRPr="0089077E" w:rsidRDefault="0089077E" w:rsidP="00FB1926">
      <w:pPr>
        <w:tabs>
          <w:tab w:val="left" w:pos="6804"/>
        </w:tabs>
        <w:spacing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«УТВЕРЖДЕНО»</w:t>
      </w:r>
    </w:p>
    <w:p w:rsidR="0089077E" w:rsidRPr="0089077E" w:rsidRDefault="0089077E" w:rsidP="0089077E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Протокол заседания консультативного </w:t>
      </w:r>
    </w:p>
    <w:p w:rsidR="0089077E" w:rsidRPr="0089077E" w:rsidRDefault="0089077E" w:rsidP="0089077E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совета </w:t>
      </w:r>
    </w:p>
    <w:p w:rsidR="0089077E" w:rsidRPr="0089077E" w:rsidRDefault="0089077E" w:rsidP="0089077E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«</w:t>
      </w:r>
      <w:r w:rsidR="00BE737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17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B17A9C"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BE73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9077E" w:rsidRPr="0089077E" w:rsidRDefault="0089077E" w:rsidP="0089077E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7373" w:rsidRPr="00BE7373" w:rsidRDefault="00BE7373" w:rsidP="00BE7373">
      <w:pPr>
        <w:spacing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37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BE7373" w:rsidRPr="00BE7373" w:rsidRDefault="00BE7373" w:rsidP="00BE7373">
      <w:pPr>
        <w:spacing w:line="300" w:lineRule="exact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3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проведения заседаний консультативного совета</w:t>
      </w:r>
    </w:p>
    <w:p w:rsidR="00BE7373" w:rsidRPr="00BE7373" w:rsidRDefault="00BE7373" w:rsidP="00BE7373">
      <w:pPr>
        <w:spacing w:line="300" w:lineRule="exact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3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Министерстве по налогам и сборам </w:t>
      </w:r>
    </w:p>
    <w:p w:rsidR="00BE7373" w:rsidRPr="00BE7373" w:rsidRDefault="00BE7373" w:rsidP="00BE7373">
      <w:pPr>
        <w:spacing w:line="300" w:lineRule="exact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373">
        <w:rPr>
          <w:rFonts w:ascii="Times New Roman" w:eastAsia="Times New Roman" w:hAnsi="Times New Roman" w:cs="Times New Roman"/>
          <w:sz w:val="30"/>
          <w:szCs w:val="30"/>
          <w:lang w:eastAsia="ru-RU"/>
        </w:rPr>
        <w:t>во 2-м полугодии 2025 г.</w:t>
      </w:r>
    </w:p>
    <w:p w:rsidR="00BE7373" w:rsidRPr="00BE7373" w:rsidRDefault="00BE7373" w:rsidP="00BE7373">
      <w:pPr>
        <w:spacing w:line="300" w:lineRule="exact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7317"/>
        <w:gridCol w:w="1701"/>
      </w:tblGrid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Тема заседания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Срок </w:t>
            </w:r>
          </w:p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проведения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Проект постановления Совета Министров Республики Беларусь «О порядке осуществления деятельности в сфере игорного бизнеса»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главное управление контроля реализации товаров и услуг МНС)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сентябрь* 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учете при налогообложении налогом на прибыль сумм премий, бонусов, вознаграждений, предоставленных покупателем (заказчиком) в адрес продавца (исполнителя) при выполнении продавцом (исполнителем) условий (в т.ч. по качеству), определенных договором в качестве обязательных для предоставления таких премий, бонусов, вознаграждений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октябрь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учете при налогообложении прибыли положительных курсовых разниц, возникающих при пересчете выраженной в белорусских рублях в сумме, эквивалентной определенной сумме в иностранной валюте, стоимости активов и обязательств, возникших в связи с предоставлением и (или) получением займов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октябрь</w:t>
            </w:r>
          </w:p>
        </w:tc>
      </w:tr>
      <w:tr w:rsidR="00BE7373" w:rsidRPr="00BE7373" w:rsidTr="009B5571">
        <w:tc>
          <w:tcPr>
            <w:tcW w:w="621" w:type="dxa"/>
            <w:shd w:val="clear" w:color="auto" w:fill="auto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7317" w:type="dxa"/>
            <w:shd w:val="clear" w:color="auto" w:fill="auto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неучете при налогообложении прибыли у бюджетных организаций излишков, выявленных при инвентаризации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  <w:shd w:val="clear" w:color="auto" w:fill="auto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октябрь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изменении порядка налогообложения налогом на прибыль сделок по продаже ранее выкупленных собственных долей (акций)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главное управление методологии налогообложения МНС)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октябрь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Проект постановления МНС, предусматривающий корректировку постановления МНС от 16.09.2016 № 27 «О внутреннем контроле в области организации </w:t>
            </w: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азартных игр и области налогового консультирования»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главное управление контроля реализации товаров и услуг МНС)</w:t>
            </w: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ноябрь*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изменении формы налоговой декларации (расчета) налогового агента по подоходному налогу с физических лиц с 2027 года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главное управление налогообложения физических лиц МНС)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ноябрь</w:t>
            </w:r>
          </w:p>
        </w:tc>
      </w:tr>
      <w:tr w:rsidR="00BE7373" w:rsidRPr="00BE7373" w:rsidTr="009B5571">
        <w:tc>
          <w:tcPr>
            <w:tcW w:w="621" w:type="dxa"/>
            <w:shd w:val="clear" w:color="auto" w:fill="auto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7317" w:type="dxa"/>
            <w:shd w:val="clear" w:color="auto" w:fill="auto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установлении порядка осовременивания вкладов в уставный фонд при реорганизации организации при исчислении налога на прибыль, налога на доходы иностранных организаций, не осуществляющих деятельность в Республике Беларусь через постоянное представительство, подоходного налога с физических лиц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  <w:shd w:val="clear" w:color="auto" w:fill="auto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дате отражения валовой выручки организациями для целей УСН, доходов индивидуальных предпринимателей при реализации товаров через комиссионеров (поверенных, иных аналогичных лиц), в том числе маркетплейсы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E737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Об уточнении в Налоговом кодексе для целей исчисления налога на прибыль и подоходного налога с физических лиц расходов на приобретение доли (части доли) в уставном фонде </w:t>
            </w:r>
            <w:r w:rsidRPr="00BE7373">
              <w:rPr>
                <w:rFonts w:ascii="Times New Roman" w:eastAsia="Calibri" w:hAnsi="Times New Roman" w:cs="Times New Roman"/>
                <w:i/>
                <w:sz w:val="30"/>
                <w:szCs w:val="30"/>
              </w:rPr>
              <w:t>(инициатор – Ассоциация налогоплательщиков)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 признании достаточным основанием для применения ставки налога на добавленную стоимость в размере ноль (0) процентов при выполнении белорусским перевозчиком части международной автоперевозки экспортного или транзитного груза, которая завершается для данного перевозчика на СВХ / ТЛЦ в Республике Беларусь, которое является специально установленным местом, штампа (подписи представителя) данного СВХ/ТЛЦ в CMR-накладной без необходимости представления накладной или ее копии со штампом конечного грузополучателя </w:t>
            </w:r>
            <w:r w:rsidRPr="00BE7373">
              <w:rPr>
                <w:rFonts w:ascii="Times New Roman" w:eastAsia="Calibri" w:hAnsi="Times New Roman" w:cs="Times New Roman"/>
                <w:i/>
                <w:sz w:val="30"/>
                <w:szCs w:val="30"/>
              </w:rPr>
              <w:t>(инициатор – Ассоциация БАМАП)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декабрь</w:t>
            </w:r>
          </w:p>
        </w:tc>
      </w:tr>
      <w:tr w:rsidR="00BE7373" w:rsidRPr="00BE7373" w:rsidTr="009B5571">
        <w:tc>
          <w:tcPr>
            <w:tcW w:w="621" w:type="dxa"/>
            <w:shd w:val="clear" w:color="auto" w:fill="auto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7317" w:type="dxa"/>
            <w:shd w:val="clear" w:color="auto" w:fill="auto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отнесении объектов инвестиционной недвижимости к категории основных средств в целях применения норм главы 14 «Налог на добавленную стоимость» Налогового кодекса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  <w:shd w:val="clear" w:color="auto" w:fill="auto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декабрь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13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color w:val="000000"/>
                <w:spacing w:val="4"/>
                <w:sz w:val="30"/>
                <w:szCs w:val="30"/>
                <w:lang w:eastAsia="ru-RU"/>
              </w:rPr>
              <w:t>Об упрощении администрирования налога на доходы иностранных организаций, не осуществляющих деятельность в Республике Беларусь через постоянное представительство:</w:t>
            </w:r>
          </w:p>
          <w:p w:rsidR="00BE7373" w:rsidRPr="00BE7373" w:rsidRDefault="00BE7373" w:rsidP="00BE7373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color w:val="000000"/>
                <w:spacing w:val="4"/>
                <w:sz w:val="30"/>
                <w:szCs w:val="30"/>
                <w:lang w:eastAsia="ru-RU"/>
              </w:rPr>
              <w:t xml:space="preserve">- </w:t>
            </w: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автоматизация факта подтверждения постоянного местонахождения юридического лица – резидента одного из государств-членов Евразийского экономического союза, для целей применения международных договоров об избежании двойного налогообложения посредством создания единой базы;</w:t>
            </w:r>
          </w:p>
          <w:p w:rsidR="00BE7373" w:rsidRPr="00BE7373" w:rsidRDefault="00BE7373" w:rsidP="00BE7373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в</w:t>
            </w:r>
            <w:r w:rsidRPr="00BE737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озможность выбора даты возникновения обязательств по уплате налога на доходы;</w:t>
            </w:r>
          </w:p>
          <w:p w:rsidR="00BE7373" w:rsidRPr="00BE7373" w:rsidRDefault="00BE7373" w:rsidP="00BE7373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инициирование перед компетентными службами Китайской Народной Республики создания электронного сервиса, позволяющего осуществлять проверку справок резидентства</w:t>
            </w:r>
          </w:p>
          <w:p w:rsidR="00BE7373" w:rsidRPr="00BE7373" w:rsidRDefault="00BE7373" w:rsidP="00BE7373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Calibri" w:hAnsi="Times New Roman" w:cs="Times New Roman"/>
                <w:i/>
                <w:sz w:val="30"/>
                <w:szCs w:val="30"/>
                <w:lang w:eastAsia="ru-RU"/>
              </w:rPr>
              <w:t>(инициатор – Ассоциация БАМАП)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декабрь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Разработка общей антиуклонительной нормы в целях применения пункта 4 статьи 33 Налогового кодекса </w:t>
            </w:r>
            <w:r w:rsidRPr="00BE737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ООО «ДРТ-Лигал»)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декабрь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contextualSpacing/>
              <w:jc w:val="both"/>
              <w:rPr>
                <w:rFonts w:ascii="Calibri" w:eastAsia="Calibri" w:hAnsi="Calibri" w:cs="Times New Roman"/>
                <w:i/>
                <w:sz w:val="30"/>
                <w:szCs w:val="30"/>
              </w:rPr>
            </w:pPr>
            <w:r w:rsidRPr="00BE737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 сохранении льгот по налогу на недвижимость и земельному налогу для резидентов СЭЗ в случае предоставления в аренду помещений организациям, оказывающим услуги самому резиденту СЭЗ, т.е. для собственных нужд </w:t>
            </w:r>
            <w:r w:rsidRPr="00BE7373">
              <w:rPr>
                <w:rFonts w:ascii="Times New Roman" w:eastAsia="Calibri" w:hAnsi="Times New Roman" w:cs="Times New Roman"/>
                <w:i/>
                <w:sz w:val="30"/>
                <w:szCs w:val="30"/>
              </w:rPr>
              <w:t>(инициатор – Ассоциация налогоплательщиков)</w:t>
            </w:r>
            <w:r w:rsidRPr="00BE737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декабрь</w:t>
            </w:r>
          </w:p>
        </w:tc>
      </w:tr>
      <w:tr w:rsidR="00BE7373" w:rsidRPr="00BE7373" w:rsidTr="009B5571">
        <w:tc>
          <w:tcPr>
            <w:tcW w:w="62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7317" w:type="dxa"/>
          </w:tcPr>
          <w:p w:rsidR="00BE7373" w:rsidRPr="00BE7373" w:rsidRDefault="00BE7373" w:rsidP="00BE737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Иные вопросы, инициируемые членами консультативного совета</w:t>
            </w:r>
          </w:p>
        </w:tc>
        <w:tc>
          <w:tcPr>
            <w:tcW w:w="1701" w:type="dxa"/>
          </w:tcPr>
          <w:p w:rsidR="00BE7373" w:rsidRPr="00BE7373" w:rsidRDefault="00BE7373" w:rsidP="00BE7373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BE73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мере необходи-мости</w:t>
            </w:r>
          </w:p>
        </w:tc>
      </w:tr>
    </w:tbl>
    <w:p w:rsidR="00BE7373" w:rsidRPr="00BE7373" w:rsidRDefault="00BE7373" w:rsidP="00BE73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373">
        <w:rPr>
          <w:rFonts w:ascii="Times New Roman" w:eastAsia="Times New Roman" w:hAnsi="Times New Roman" w:cs="Times New Roman"/>
          <w:sz w:val="24"/>
          <w:szCs w:val="24"/>
          <w:lang w:eastAsia="ru-RU"/>
        </w:rPr>
        <w:t>* - путем направления членам консультативного совета опросного листа</w:t>
      </w:r>
    </w:p>
    <w:p w:rsidR="0089077E" w:rsidRPr="0089077E" w:rsidRDefault="0089077E" w:rsidP="0089077E">
      <w:pPr>
        <w:shd w:val="clear" w:color="auto" w:fill="FFFFFF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89077E" w:rsidRPr="0089077E" w:rsidRDefault="0089077E" w:rsidP="0089077E">
      <w:pPr>
        <w:shd w:val="clear" w:color="auto" w:fill="FFFFFF"/>
        <w:spacing w:line="280" w:lineRule="exact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89077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Председатель </w:t>
      </w:r>
    </w:p>
    <w:p w:rsidR="0089077E" w:rsidRPr="0089077E" w:rsidRDefault="0089077E" w:rsidP="0089077E">
      <w:pPr>
        <w:shd w:val="clear" w:color="auto" w:fill="FFFFFF"/>
        <w:spacing w:line="280" w:lineRule="exact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89077E">
        <w:rPr>
          <w:rFonts w:ascii="Times New Roman" w:eastAsia="Times New Roman" w:hAnsi="Times New Roman" w:cs="Times New Roman"/>
          <w:sz w:val="30"/>
          <w:szCs w:val="24"/>
          <w:lang w:eastAsia="ru-RU"/>
        </w:rPr>
        <w:t>консультативного совета                                               С.В.Еськова</w:t>
      </w:r>
    </w:p>
    <w:p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D5460" w:rsidRPr="002D5460" w:rsidRDefault="00BD73EF" w:rsidP="00CD6A81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3E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                 </w:t>
      </w:r>
      <w:bookmarkStart w:id="0" w:name="_GoBack"/>
      <w:bookmarkEnd w:id="0"/>
    </w:p>
    <w:p w:rsidR="0005366D" w:rsidRPr="00BD73EF" w:rsidRDefault="0005366D" w:rsidP="002D546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05366D" w:rsidRPr="00BD73EF" w:rsidSect="00837A3C">
      <w:pgSz w:w="11906" w:h="16838" w:code="9"/>
      <w:pgMar w:top="1134" w:right="737" w:bottom="1134" w:left="1701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06" w:rsidRDefault="00811F06" w:rsidP="0097326C">
      <w:r>
        <w:separator/>
      </w:r>
    </w:p>
  </w:endnote>
  <w:endnote w:type="continuationSeparator" w:id="0">
    <w:p w:rsidR="00811F06" w:rsidRDefault="00811F06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06" w:rsidRDefault="00811F06" w:rsidP="0097326C">
      <w:r>
        <w:separator/>
      </w:r>
    </w:p>
  </w:footnote>
  <w:footnote w:type="continuationSeparator" w:id="0">
    <w:p w:rsidR="00811F06" w:rsidRDefault="00811F06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attachedTemplate r:id="rId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DE"/>
    <w:rsid w:val="00001011"/>
    <w:rsid w:val="00036BDE"/>
    <w:rsid w:val="0005366D"/>
    <w:rsid w:val="00064933"/>
    <w:rsid w:val="00080D42"/>
    <w:rsid w:val="00094807"/>
    <w:rsid w:val="00094A30"/>
    <w:rsid w:val="000F0ADF"/>
    <w:rsid w:val="00113B8B"/>
    <w:rsid w:val="001B3ACE"/>
    <w:rsid w:val="001C0C34"/>
    <w:rsid w:val="001C7E2E"/>
    <w:rsid w:val="00255AC2"/>
    <w:rsid w:val="00290922"/>
    <w:rsid w:val="002B5086"/>
    <w:rsid w:val="002D39C3"/>
    <w:rsid w:val="002D4A97"/>
    <w:rsid w:val="002D5460"/>
    <w:rsid w:val="002E7FD8"/>
    <w:rsid w:val="0035642E"/>
    <w:rsid w:val="003900E2"/>
    <w:rsid w:val="003E6C52"/>
    <w:rsid w:val="00403E6A"/>
    <w:rsid w:val="00421009"/>
    <w:rsid w:val="004745E2"/>
    <w:rsid w:val="004E108E"/>
    <w:rsid w:val="004E24E0"/>
    <w:rsid w:val="00501EB8"/>
    <w:rsid w:val="00527323"/>
    <w:rsid w:val="0055051D"/>
    <w:rsid w:val="005B0B51"/>
    <w:rsid w:val="006407A1"/>
    <w:rsid w:val="00645252"/>
    <w:rsid w:val="006C69B1"/>
    <w:rsid w:val="006D3D5B"/>
    <w:rsid w:val="006D3D74"/>
    <w:rsid w:val="006E22CC"/>
    <w:rsid w:val="007033E0"/>
    <w:rsid w:val="00723FF3"/>
    <w:rsid w:val="007471A0"/>
    <w:rsid w:val="00764330"/>
    <w:rsid w:val="00790599"/>
    <w:rsid w:val="007E0957"/>
    <w:rsid w:val="007F4D60"/>
    <w:rsid w:val="00811F06"/>
    <w:rsid w:val="0083569A"/>
    <w:rsid w:val="00837A3C"/>
    <w:rsid w:val="00841F22"/>
    <w:rsid w:val="0089077E"/>
    <w:rsid w:val="008A3545"/>
    <w:rsid w:val="008A3D4A"/>
    <w:rsid w:val="008A4681"/>
    <w:rsid w:val="008E4FAA"/>
    <w:rsid w:val="009147F2"/>
    <w:rsid w:val="0092276D"/>
    <w:rsid w:val="00972D90"/>
    <w:rsid w:val="0097326C"/>
    <w:rsid w:val="00990862"/>
    <w:rsid w:val="00992A8A"/>
    <w:rsid w:val="00997ACF"/>
    <w:rsid w:val="00A64D43"/>
    <w:rsid w:val="00A9204E"/>
    <w:rsid w:val="00A9782B"/>
    <w:rsid w:val="00AE5738"/>
    <w:rsid w:val="00B17A9C"/>
    <w:rsid w:val="00BD73EF"/>
    <w:rsid w:val="00BE2BAB"/>
    <w:rsid w:val="00BE7373"/>
    <w:rsid w:val="00C55139"/>
    <w:rsid w:val="00CC0F6B"/>
    <w:rsid w:val="00CC3D9D"/>
    <w:rsid w:val="00CD6A81"/>
    <w:rsid w:val="00DA623B"/>
    <w:rsid w:val="00DB2337"/>
    <w:rsid w:val="00EF7E9A"/>
    <w:rsid w:val="00FB1926"/>
    <w:rsid w:val="00FB6F16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C6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36BD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30"/>
      <w:szCs w:val="3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  <w:sz w:val="30"/>
      <w:szCs w:val="3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  <w:sz w:val="30"/>
      <w:szCs w:val="30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30"/>
      <w:szCs w:val="30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 w:val="30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3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ascii="Times New Roman" w:eastAsiaTheme="minorEastAsia" w:hAnsi="Times New Roman" w:cs="Calibri"/>
      <w:color w:val="5A5A5A" w:themeColor="text1" w:themeTint="A5"/>
      <w:spacing w:val="15"/>
      <w:sz w:val="30"/>
      <w:szCs w:val="30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rFonts w:ascii="Times New Roman" w:hAnsi="Times New Roman" w:cs="Calibri"/>
      <w:i/>
      <w:iCs/>
      <w:color w:val="404040" w:themeColor="text1" w:themeTint="BF"/>
      <w:sz w:val="30"/>
      <w:szCs w:val="30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Times New Roman" w:hAnsi="Times New Roman" w:cs="Calibri"/>
      <w:i/>
      <w:iCs/>
      <w:color w:val="1F4E79" w:themeColor="accent1" w:themeShade="80"/>
      <w:sz w:val="30"/>
      <w:szCs w:val="3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rFonts w:ascii="Times New Roman" w:hAnsi="Times New Roman" w:cs="Calibri"/>
      <w:i/>
      <w:iCs/>
      <w:color w:val="44546A" w:themeColor="text2"/>
      <w:sz w:val="30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 w:val="30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="Times New Roman" w:eastAsiaTheme="minorEastAsia" w:hAnsi="Times New Roman" w:cs="Calibri"/>
      <w:i/>
      <w:iCs/>
      <w:color w:val="1F4E79" w:themeColor="accent1" w:themeShade="80"/>
      <w:sz w:val="30"/>
      <w:szCs w:val="3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 w:val="30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 w:val="30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 w:cs="Calibri"/>
      <w:sz w:val="3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 w:cs="Calibri"/>
      <w:sz w:val="30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  <w:rPr>
      <w:rFonts w:ascii="Times New Roman" w:hAnsi="Times New Roman" w:cs="Calibri"/>
      <w:sz w:val="30"/>
      <w:szCs w:val="30"/>
    </w:r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rFonts w:ascii="Times New Roman" w:hAnsi="Times New Roman" w:cs="Calibri"/>
      <w:i/>
      <w:iCs/>
      <w:sz w:val="30"/>
      <w:szCs w:val="30"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  <w:rPr>
      <w:rFonts w:ascii="Times New Roman" w:hAnsi="Times New Roman" w:cs="Calibri"/>
      <w:sz w:val="30"/>
      <w:szCs w:val="30"/>
    </w:r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  <w:rPr>
      <w:rFonts w:ascii="Times New Roman" w:hAnsi="Times New Roman" w:cs="Calibri"/>
      <w:sz w:val="30"/>
      <w:szCs w:val="30"/>
    </w:r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  <w:rPr>
      <w:rFonts w:ascii="Times New Roman" w:hAnsi="Times New Roman" w:cs="Calibri"/>
      <w:sz w:val="30"/>
      <w:szCs w:val="30"/>
    </w:r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  <w:rPr>
      <w:rFonts w:ascii="Times New Roman" w:hAnsi="Times New Roman" w:cs="Calibri"/>
      <w:sz w:val="30"/>
      <w:szCs w:val="30"/>
    </w:r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  <w:rPr>
      <w:rFonts w:ascii="Times New Roman" w:hAnsi="Times New Roman" w:cs="Calibri"/>
      <w:sz w:val="30"/>
      <w:szCs w:val="30"/>
    </w:r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  <w:rPr>
      <w:rFonts w:ascii="Times New Roman" w:hAnsi="Times New Roman" w:cs="Calibri"/>
      <w:sz w:val="30"/>
      <w:szCs w:val="30"/>
    </w:r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  <w:rPr>
      <w:rFonts w:ascii="Times New Roman" w:hAnsi="Times New Roman" w:cs="Calibri"/>
      <w:sz w:val="30"/>
      <w:szCs w:val="30"/>
    </w:r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  <w:rPr>
      <w:rFonts w:ascii="Times New Roman" w:hAnsi="Times New Roman" w:cs="Calibri"/>
      <w:sz w:val="30"/>
      <w:szCs w:val="30"/>
    </w:r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  <w:rPr>
      <w:rFonts w:ascii="Times New Roman" w:hAnsi="Times New Roman" w:cs="Calibri"/>
      <w:sz w:val="30"/>
      <w:szCs w:val="30"/>
    </w:r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  <w:rPr>
      <w:rFonts w:ascii="Times New Roman" w:hAnsi="Times New Roman" w:cs="Calibri"/>
      <w:sz w:val="30"/>
      <w:szCs w:val="30"/>
    </w:r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  <w:rPr>
      <w:rFonts w:ascii="Times New Roman" w:hAnsi="Times New Roman" w:cs="Calibri"/>
      <w:sz w:val="30"/>
      <w:szCs w:val="30"/>
    </w:r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  <w:rPr>
      <w:rFonts w:ascii="Times New Roman" w:hAnsi="Times New Roman" w:cs="Calibri"/>
      <w:sz w:val="30"/>
      <w:szCs w:val="30"/>
    </w:r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  <w:rPr>
      <w:rFonts w:ascii="Times New Roman" w:hAnsi="Times New Roman" w:cs="Calibri"/>
      <w:sz w:val="30"/>
      <w:szCs w:val="30"/>
    </w:r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  <w:rPr>
      <w:rFonts w:ascii="Times New Roman" w:hAnsi="Times New Roman" w:cs="Calibri"/>
      <w:sz w:val="30"/>
      <w:szCs w:val="30"/>
    </w:r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  <w:rPr>
      <w:rFonts w:ascii="Times New Roman" w:hAnsi="Times New Roman" w:cs="Calibri"/>
      <w:sz w:val="30"/>
      <w:szCs w:val="30"/>
    </w:r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  <w:rPr>
      <w:rFonts w:ascii="Times New Roman" w:hAnsi="Times New Roman" w:cs="Calibri"/>
      <w:sz w:val="30"/>
      <w:szCs w:val="30"/>
    </w:r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  <w:rPr>
      <w:rFonts w:ascii="Times New Roman" w:hAnsi="Times New Roman" w:cs="Calibri"/>
      <w:sz w:val="30"/>
      <w:szCs w:val="30"/>
    </w:r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  <w:rPr>
      <w:rFonts w:ascii="Times New Roman" w:hAnsi="Times New Roman" w:cs="Calibri"/>
      <w:sz w:val="30"/>
      <w:szCs w:val="30"/>
    </w:r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  <w:rPr>
      <w:rFonts w:ascii="Times New Roman" w:hAnsi="Times New Roman" w:cs="Calibri"/>
      <w:sz w:val="30"/>
      <w:szCs w:val="30"/>
    </w:r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30"/>
    </w:r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  <w:rPr>
      <w:rFonts w:ascii="Times New Roman" w:hAnsi="Times New Roman" w:cs="Calibri"/>
      <w:sz w:val="30"/>
      <w:szCs w:val="30"/>
    </w:r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30"/>
    </w:r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  <w:rPr>
      <w:rFonts w:ascii="Times New Roman" w:hAnsi="Times New Roman" w:cs="Calibri"/>
      <w:sz w:val="30"/>
      <w:szCs w:val="30"/>
    </w:r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  <w:rPr>
      <w:rFonts w:ascii="Times New Roman" w:hAnsi="Times New Roman" w:cs="Calibri"/>
      <w:sz w:val="30"/>
      <w:szCs w:val="30"/>
    </w:r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  <w:rPr>
      <w:rFonts w:ascii="Times New Roman" w:hAnsi="Times New Roman" w:cs="Calibri"/>
      <w:sz w:val="30"/>
      <w:szCs w:val="30"/>
    </w:r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  <w:rPr>
      <w:rFonts w:ascii="Times New Roman" w:hAnsi="Times New Roman" w:cs="Calibri"/>
      <w:sz w:val="30"/>
      <w:szCs w:val="30"/>
    </w:r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  <w:rPr>
      <w:rFonts w:ascii="Times New Roman" w:hAnsi="Times New Roman" w:cs="Calibri"/>
      <w:sz w:val="30"/>
      <w:szCs w:val="30"/>
    </w:r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  <w:rPr>
      <w:rFonts w:ascii="Times New Roman" w:hAnsi="Times New Roman" w:cs="Calibri"/>
      <w:sz w:val="30"/>
      <w:szCs w:val="30"/>
    </w:r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  <w:rPr>
      <w:rFonts w:ascii="Times New Roman" w:hAnsi="Times New Roman" w:cs="Calibri"/>
      <w:sz w:val="30"/>
      <w:szCs w:val="30"/>
    </w:r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  <w:rPr>
      <w:rFonts w:ascii="Times New Roman" w:hAnsi="Times New Roman" w:cs="Calibri"/>
      <w:sz w:val="30"/>
      <w:szCs w:val="30"/>
    </w:r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  <w:rPr>
      <w:rFonts w:ascii="Times New Roman" w:hAnsi="Times New Roman" w:cs="Calibri"/>
      <w:sz w:val="30"/>
      <w:szCs w:val="30"/>
    </w:r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  <w:rPr>
      <w:rFonts w:ascii="Times New Roman" w:hAnsi="Times New Roman" w:cs="Calibri"/>
      <w:sz w:val="30"/>
      <w:szCs w:val="30"/>
    </w:r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  <w:sz w:val="30"/>
      <w:szCs w:val="30"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5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kondratenko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(пустой).dotx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2025-10-22T11:20:00Z</dcterms:created>
  <dcterms:modified xsi:type="dcterms:W3CDTF">2025-10-22T11:21:00Z</dcterms:modified>
</cp:coreProperties>
</file>